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77777777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</w:t>
      </w:r>
      <w:r w:rsidR="00DB5762">
        <w:rPr>
          <w:sz w:val="32"/>
          <w:szCs w:val="32"/>
        </w:rPr>
        <w:t>7.5.1</w:t>
      </w:r>
      <w:r w:rsidRPr="001A3683">
        <w:rPr>
          <w:sz w:val="32"/>
          <w:szCs w:val="32"/>
        </w:rPr>
        <w:t xml:space="preserve"> </w:t>
      </w:r>
      <w:r w:rsidR="001D3638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DB5762">
        <w:rPr>
          <w:sz w:val="32"/>
          <w:szCs w:val="32"/>
        </w:rPr>
        <w:t>Větrné elektrárny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4AE7CCF7" w:rsidR="00BC09D9" w:rsidRPr="00BC09D9" w:rsidRDefault="004C5FBF" w:rsidP="00BC09D9">
      <w:pPr>
        <w:jc w:val="center"/>
      </w:pPr>
      <w:bookmarkStart w:id="3" w:name="_Hlk54212915"/>
      <w:r>
        <w:t>Provozní soubory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89D4B1E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DB5762">
                    <w:t>7.5.1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8792A34" w:rsidR="008A29C0" w:rsidRPr="009F2B22" w:rsidRDefault="001D3638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1D3638">
                    <w:rPr>
                      <w:lang w:eastAsia="cs-CZ"/>
                    </w:rPr>
                    <w:t>doc. Ing. Lukáš Prokop, Ph.D.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46AC18C2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7F4281BB" w:rsidR="00711262" w:rsidRDefault="000B572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0E6B0652" w:rsidR="00711262" w:rsidRDefault="000B572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07A41AA7" w:rsidR="00711262" w:rsidRDefault="000B572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4" w:name="_Toc54879906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p w14:paraId="45919955" w14:textId="4879E2D9" w:rsidR="0062499C" w:rsidRDefault="00A816AC" w:rsidP="00013A1D">
      <w:pPr>
        <w:ind w:firstLine="340"/>
        <w:jc w:val="both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>Předmětem</w:t>
      </w:r>
      <w:bookmarkEnd w:id="5"/>
      <w:r w:rsidR="00BE60FA">
        <w:t xml:space="preserve"> </w:t>
      </w:r>
      <w:r w:rsidR="00013A1D">
        <w:t xml:space="preserve">je realizace </w:t>
      </w:r>
      <w:r w:rsidR="00C77598">
        <w:t xml:space="preserve">výzkumného </w:t>
      </w:r>
      <w:r w:rsidR="00013A1D">
        <w:t>komplexu malých větrných elektráren, připojených pomocí výkonové elektroniky k akumulátoru, který slouží k akumulaci vyrobené elektrické energie. Z tohoto akumulátoru se následně napájí místní spotřeba elektrické energie.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6" w:name="_Toc54879907"/>
      <w:r w:rsidRPr="00C510EE">
        <w:t>POPIS TECHNICKÉHO ŘEŠENÍ</w:t>
      </w:r>
      <w:bookmarkEnd w:id="6"/>
    </w:p>
    <w:p w14:paraId="1C2975E6" w14:textId="7B9AC210" w:rsidR="00087A9A" w:rsidRDefault="00087A9A" w:rsidP="00087A9A"/>
    <w:p w14:paraId="7B13DA78" w14:textId="2AD09572" w:rsidR="00013A1D" w:rsidRPr="00477DF8" w:rsidRDefault="00510522" w:rsidP="00477DF8">
      <w:pPr>
        <w:ind w:firstLine="340"/>
        <w:jc w:val="both"/>
        <w:rPr>
          <w:rFonts w:cs="Times New Roman"/>
          <w:lang w:eastAsia="x-none"/>
        </w:rPr>
      </w:pPr>
      <w:r w:rsidRPr="00477DF8">
        <w:rPr>
          <w:rFonts w:cs="Times New Roman"/>
          <w:lang w:eastAsia="x-none"/>
        </w:rPr>
        <w:t xml:space="preserve">Na střeše budovy bude realizována ocelová konstrukce umožňující instalaci malých větrných elektráren různých typů (vertikální i horizontální osa otáčení). Celkově se předpokládá instalace cca 12 ks větrných elektráren. Výkon elektráren se bude pohybovat ve stovkách wattů. Tyto větrné elektrárny budou pomocí kabelových rozvodů </w:t>
      </w:r>
      <w:r w:rsidR="00DD4C24" w:rsidRPr="00477DF8">
        <w:rPr>
          <w:rFonts w:cs="Times New Roman"/>
          <w:lang w:eastAsia="x-none"/>
        </w:rPr>
        <w:t>připojeny k regulátorům nabíjení. Regulátory nabíjení budou připojeny k oddělovači akumulátorů, který bude řídit nabíjení sady gelových akumulátorových baterií. Regulátory nabíjení, oddělovač akumulátorů a další jistící a chránící prvky budou instalovány v </w:t>
      </w:r>
      <w:proofErr w:type="spellStart"/>
      <w:r w:rsidR="00DD4C24" w:rsidRPr="00477DF8">
        <w:rPr>
          <w:rFonts w:cs="Times New Roman"/>
          <w:lang w:eastAsia="x-none"/>
        </w:rPr>
        <w:t>ocelo</w:t>
      </w:r>
      <w:proofErr w:type="spellEnd"/>
      <w:r w:rsidR="00DD4C24" w:rsidRPr="00477DF8">
        <w:rPr>
          <w:rFonts w:cs="Times New Roman"/>
          <w:lang w:eastAsia="x-none"/>
        </w:rPr>
        <w:t>-plechovém rozváděči o rozměrech cca 1000x800x2000 mm. Na stěně rozváděče budou instalovány zásuvky 230V/16A pro n</w:t>
      </w:r>
      <w:bookmarkStart w:id="7" w:name="_GoBack"/>
      <w:bookmarkEnd w:id="7"/>
      <w:r w:rsidR="00DD4C24" w:rsidRPr="00477DF8">
        <w:rPr>
          <w:rFonts w:cs="Times New Roman"/>
          <w:lang w:eastAsia="x-none"/>
        </w:rPr>
        <w:t xml:space="preserve">apájení místní spotřeby. Alternativně může být rozvod spotřeby elektrické energie rozveden po střeše budovy, kde budou umístěny elektrické zásuvky, případně do nižšího patra. </w:t>
      </w:r>
      <w:r w:rsidR="00C77598" w:rsidRPr="00477DF8">
        <w:rPr>
          <w:rFonts w:cs="Times New Roman"/>
          <w:lang w:eastAsia="x-none"/>
        </w:rPr>
        <w:t>Rozváděč bude rovněž vybaven analyzátory typu KMB SMD 118, které umožní měření elektrických veličin ve vybraných místech popisovaného elektrického obvodu. Rozváděč bude elektrický propojen v hlavní rozvodnou NN a bude připojen na datové rozvody budovy.</w:t>
      </w: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8" w:name="_Toc54879908"/>
      <w:r w:rsidRPr="00FD6953">
        <w:t>TECHNICKÉ ÚDAJE</w:t>
      </w:r>
      <w:bookmarkEnd w:id="8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3742F439" w14:textId="66B14171" w:rsidR="00013A1D" w:rsidRDefault="00013A1D" w:rsidP="00022565">
      <w:pPr>
        <w:suppressAutoHyphens w:val="0"/>
        <w:spacing w:line="360" w:lineRule="auto"/>
        <w:ind w:firstLine="340"/>
        <w:jc w:val="both"/>
        <w:outlineLvl w:val="1"/>
      </w:pPr>
      <w:r>
        <w:t>Soubor malých větrných turbín bude složen z následujících komponent:</w:t>
      </w:r>
    </w:p>
    <w:p w14:paraId="3E581E66" w14:textId="3A034B7E" w:rsidR="0062499C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Mikro větrné elektrárny 12V/300W  s integrovaným regulátorem a</w:t>
      </w:r>
      <w:r>
        <w:t xml:space="preserve"> </w:t>
      </w:r>
      <w:r w:rsidRPr="00013A1D">
        <w:t>systém zabezpečení</w:t>
      </w:r>
      <w:r>
        <w:t xml:space="preserve"> </w:t>
      </w:r>
      <w:r w:rsidRPr="00013A1D">
        <w:t>elektronickou</w:t>
      </w:r>
      <w:r>
        <w:t xml:space="preserve"> </w:t>
      </w:r>
      <w:r w:rsidRPr="00013A1D">
        <w:t>regulací otáček</w:t>
      </w:r>
    </w:p>
    <w:p w14:paraId="1FC42ACC" w14:textId="271CA825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Vertikální větrné turbíny - Sada  300W/12V, usměrňovač</w:t>
      </w:r>
    </w:p>
    <w:p w14:paraId="0985CA76" w14:textId="1C9AF872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Vertikální větrné turbíny Sada  500W/12V, usměrňovač</w:t>
      </w:r>
    </w:p>
    <w:p w14:paraId="2AA4EDFD" w14:textId="6726E794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Regulátory dobíjení </w:t>
      </w:r>
    </w:p>
    <w:p w14:paraId="5A8F1811" w14:textId="33328C91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Gelové baterie 265Ah /12V </w:t>
      </w:r>
    </w:p>
    <w:p w14:paraId="165ED323" w14:textId="500A5281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 xml:space="preserve">Oddělovač akumulátorů, který </w:t>
      </w:r>
      <w:r>
        <w:t>u</w:t>
      </w:r>
      <w:r w:rsidRPr="00013A1D">
        <w:t>možňuje současné</w:t>
      </w:r>
      <w:r>
        <w:t xml:space="preserve"> </w:t>
      </w:r>
      <w:r w:rsidRPr="00013A1D">
        <w:t>nabíjení</w:t>
      </w:r>
      <w:r>
        <w:t xml:space="preserve"> </w:t>
      </w:r>
      <w:r w:rsidRPr="00013A1D">
        <w:t>tří</w:t>
      </w:r>
      <w:r>
        <w:t xml:space="preserve"> </w:t>
      </w:r>
      <w:r w:rsidRPr="00013A1D">
        <w:t>akumulátorů</w:t>
      </w:r>
      <w:r>
        <w:t xml:space="preserve"> </w:t>
      </w:r>
      <w:r w:rsidRPr="00013A1D">
        <w:t>z</w:t>
      </w:r>
      <w:r>
        <w:t> </w:t>
      </w:r>
      <w:r w:rsidRPr="00013A1D">
        <w:t>jednoho</w:t>
      </w:r>
      <w:r>
        <w:t xml:space="preserve"> </w:t>
      </w:r>
      <w:r w:rsidRPr="00013A1D">
        <w:t>zdroje,</w:t>
      </w:r>
      <w:r>
        <w:t xml:space="preserve"> </w:t>
      </w:r>
      <w:r w:rsidRPr="00013A1D">
        <w:t>při</w:t>
      </w:r>
      <w:r>
        <w:t xml:space="preserve"> </w:t>
      </w:r>
      <w:r w:rsidRPr="00013A1D">
        <w:t>maximálním</w:t>
      </w:r>
      <w:r>
        <w:t xml:space="preserve"> </w:t>
      </w:r>
      <w:r w:rsidRPr="00013A1D">
        <w:t>nabíjecím proudu až 200 A</w:t>
      </w:r>
    </w:p>
    <w:p w14:paraId="5951CBFE" w14:textId="55C5A46C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Rozvaděč včetně výzbroje, měnič</w:t>
      </w:r>
      <w:r>
        <w:t>e</w:t>
      </w:r>
      <w:r w:rsidRPr="00013A1D">
        <w:t> napětí,  KMB analyzátory SMD 118</w:t>
      </w:r>
    </w:p>
    <w:p w14:paraId="3D6B6EA2" w14:textId="18626B13" w:rsidR="00013A1D" w:rsidRPr="00013A1D" w:rsidRDefault="00013A1D" w:rsidP="00013A1D">
      <w:pPr>
        <w:pStyle w:val="Odstavecseseznamem"/>
        <w:numPr>
          <w:ilvl w:val="0"/>
          <w:numId w:val="20"/>
        </w:numPr>
      </w:pPr>
      <w:r w:rsidRPr="00013A1D">
        <w:t>Kabeláže - trasy, kabely, montážní  materiál</w:t>
      </w:r>
    </w:p>
    <w:p w14:paraId="44FCBDF8" w14:textId="71DD97C9" w:rsidR="00013A1D" w:rsidRDefault="00013A1D" w:rsidP="00510522">
      <w:pPr>
        <w:suppressAutoHyphens w:val="0"/>
        <w:spacing w:line="360" w:lineRule="auto"/>
        <w:jc w:val="both"/>
        <w:outlineLvl w:val="1"/>
        <w:rPr>
          <w:rFonts w:cs="Times New Roman"/>
          <w:lang w:eastAsia="x-none"/>
        </w:rPr>
      </w:pPr>
    </w:p>
    <w:p w14:paraId="5D14F38D" w14:textId="3CB2A5C5" w:rsidR="00510522" w:rsidRPr="0062499C" w:rsidRDefault="00510522" w:rsidP="00510522">
      <w:pPr>
        <w:suppressAutoHyphens w:val="0"/>
        <w:spacing w:line="360" w:lineRule="auto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Součástí je výroba dodávka, odborná montáž, zaškolení obsluhy, technická dokumentace. </w:t>
      </w:r>
    </w:p>
    <w:p w14:paraId="5BC7DB86" w14:textId="77777777" w:rsidR="00581136" w:rsidRP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9" w:name="_Toc54879909"/>
      <w:r w:rsidRPr="00FD6953">
        <w:t>ZÁVĚ</w:t>
      </w:r>
      <w:r w:rsidR="00087A9A">
        <w:t>R</w:t>
      </w:r>
      <w:bookmarkEnd w:id="9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3DA18B30" w14:textId="2B76D4D3" w:rsidR="001A3683" w:rsidRPr="001A3683" w:rsidRDefault="00013A1D" w:rsidP="00477DF8">
      <w:pPr>
        <w:ind w:firstLine="340"/>
        <w:jc w:val="both"/>
        <w:rPr>
          <w:rFonts w:cs="Times New Roman"/>
          <w:lang w:eastAsia="x-none"/>
        </w:rPr>
      </w:pPr>
      <w:r w:rsidRPr="00510522">
        <w:rPr>
          <w:rFonts w:cs="Times New Roman"/>
          <w:lang w:eastAsia="x-none"/>
        </w:rPr>
        <w:t>Technická zpráva je vypracována jako součást projektové dokumentace pro vydání stavebního</w:t>
      </w:r>
      <w:r>
        <w:rPr>
          <w:rFonts w:cs="Times New Roman"/>
          <w:lang w:eastAsia="x-none"/>
        </w:rPr>
        <w:t xml:space="preserve"> povolení budovy Centra Energetických a Environmentálních Technologií.</w:t>
      </w:r>
    </w:p>
    <w:p w14:paraId="285B70F5" w14:textId="258AE747" w:rsidR="00A816AC" w:rsidRPr="00FD6953" w:rsidRDefault="00DA3D1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ED545" w14:textId="77777777" w:rsidR="000B572C" w:rsidRDefault="000B572C" w:rsidP="00A816AC">
      <w:r>
        <w:separator/>
      </w:r>
    </w:p>
  </w:endnote>
  <w:endnote w:type="continuationSeparator" w:id="0">
    <w:p w14:paraId="6E0BBC1D" w14:textId="77777777" w:rsidR="000B572C" w:rsidRDefault="000B572C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A58E" w14:textId="77777777" w:rsidR="00DB5762" w:rsidRDefault="00DB57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0B90C4B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DB5762">
      <w:t>7.5.1</w:t>
    </w:r>
    <w:r w:rsidR="001A3683">
      <w:rPr>
        <w:lang w:eastAsia="cs-CZ"/>
      </w:rPr>
      <w:t xml:space="preserve">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1F0E48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1F0E48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08191" w14:textId="77777777" w:rsidR="00DB5762" w:rsidRDefault="00DB576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DC4A1" w14:textId="77777777" w:rsidR="00012795" w:rsidRDefault="00012795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BC9B2" w14:textId="77777777" w:rsidR="000B572C" w:rsidRDefault="000B572C" w:rsidP="00A816AC">
      <w:r>
        <w:separator/>
      </w:r>
    </w:p>
  </w:footnote>
  <w:footnote w:type="continuationSeparator" w:id="0">
    <w:p w14:paraId="3D4FBC2F" w14:textId="77777777" w:rsidR="000B572C" w:rsidRDefault="000B572C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8B2C" w14:textId="77777777" w:rsidR="00DB5762" w:rsidRDefault="00DB57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83EBA" w14:textId="77777777" w:rsidR="00F81BDE" w:rsidRDefault="00F81BDE">
    <w:pPr>
      <w:pStyle w:val="Zhlav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DB70" w14:textId="77777777" w:rsidR="00012795" w:rsidRDefault="00012795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33B31C6C"/>
    <w:multiLevelType w:val="hybridMultilevel"/>
    <w:tmpl w:val="3F4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9612C7"/>
    <w:multiLevelType w:val="hybridMultilevel"/>
    <w:tmpl w:val="0936ACE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267D8"/>
    <w:multiLevelType w:val="hybridMultilevel"/>
    <w:tmpl w:val="29564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7"/>
  </w:num>
  <w:num w:numId="14">
    <w:abstractNumId w:val="8"/>
  </w:num>
  <w:num w:numId="15">
    <w:abstractNumId w:val="22"/>
  </w:num>
  <w:num w:numId="16">
    <w:abstractNumId w:val="20"/>
  </w:num>
  <w:num w:numId="17">
    <w:abstractNumId w:val="7"/>
  </w:num>
  <w:num w:numId="18">
    <w:abstractNumId w:val="16"/>
  </w:num>
  <w:num w:numId="19">
    <w:abstractNumId w:val="21"/>
  </w:num>
  <w:num w:numId="2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C0"/>
    <w:rsid w:val="00012795"/>
    <w:rsid w:val="00013A1D"/>
    <w:rsid w:val="00022565"/>
    <w:rsid w:val="0002329A"/>
    <w:rsid w:val="00027DB8"/>
    <w:rsid w:val="00042177"/>
    <w:rsid w:val="00061962"/>
    <w:rsid w:val="00087A9A"/>
    <w:rsid w:val="000B572C"/>
    <w:rsid w:val="000D4978"/>
    <w:rsid w:val="00145CE1"/>
    <w:rsid w:val="00161D8F"/>
    <w:rsid w:val="001647F9"/>
    <w:rsid w:val="001A3683"/>
    <w:rsid w:val="001C390B"/>
    <w:rsid w:val="001D3638"/>
    <w:rsid w:val="001E1308"/>
    <w:rsid w:val="001E5B19"/>
    <w:rsid w:val="001F0E48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818F6"/>
    <w:rsid w:val="00395DBC"/>
    <w:rsid w:val="003B0565"/>
    <w:rsid w:val="003D7C39"/>
    <w:rsid w:val="003E33AB"/>
    <w:rsid w:val="003E5397"/>
    <w:rsid w:val="00417A2F"/>
    <w:rsid w:val="00477DF8"/>
    <w:rsid w:val="004C33C7"/>
    <w:rsid w:val="004C5FBF"/>
    <w:rsid w:val="00510522"/>
    <w:rsid w:val="005361B2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4D75"/>
    <w:rsid w:val="00865922"/>
    <w:rsid w:val="008A29C0"/>
    <w:rsid w:val="008B2208"/>
    <w:rsid w:val="008B62D9"/>
    <w:rsid w:val="008F6347"/>
    <w:rsid w:val="009132E9"/>
    <w:rsid w:val="009416BD"/>
    <w:rsid w:val="009E03DE"/>
    <w:rsid w:val="00A567E9"/>
    <w:rsid w:val="00A578E7"/>
    <w:rsid w:val="00A816AC"/>
    <w:rsid w:val="00AC5EC8"/>
    <w:rsid w:val="00AD6FA1"/>
    <w:rsid w:val="00AD7012"/>
    <w:rsid w:val="00B850E3"/>
    <w:rsid w:val="00B866AE"/>
    <w:rsid w:val="00BC09D9"/>
    <w:rsid w:val="00BE60FA"/>
    <w:rsid w:val="00C05FF8"/>
    <w:rsid w:val="00C242B0"/>
    <w:rsid w:val="00C510EE"/>
    <w:rsid w:val="00C73110"/>
    <w:rsid w:val="00C77598"/>
    <w:rsid w:val="00CB38AE"/>
    <w:rsid w:val="00CE02F5"/>
    <w:rsid w:val="00CF47CF"/>
    <w:rsid w:val="00D01812"/>
    <w:rsid w:val="00D222BF"/>
    <w:rsid w:val="00D57493"/>
    <w:rsid w:val="00DA3D13"/>
    <w:rsid w:val="00DB5762"/>
    <w:rsid w:val="00DD4C24"/>
    <w:rsid w:val="00E168FB"/>
    <w:rsid w:val="00E26925"/>
    <w:rsid w:val="00E53AD7"/>
    <w:rsid w:val="00E926AC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6AA8A-8EE8-4918-9B4D-44D06E25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VSB</cp:lastModifiedBy>
  <cp:revision>4</cp:revision>
  <cp:lastPrinted>2019-12-19T10:40:00Z</cp:lastPrinted>
  <dcterms:created xsi:type="dcterms:W3CDTF">2020-11-03T08:22:00Z</dcterms:created>
  <dcterms:modified xsi:type="dcterms:W3CDTF">2020-11-03T08:50:00Z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